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603" w:rsidRDefault="00E70620">
      <w:pPr>
        <w:tabs>
          <w:tab w:val="right" w:pos="9639"/>
        </w:tabs>
        <w:spacing w:after="0"/>
        <w:rPr>
          <w:rFonts w:ascii="Arial" w:hAnsi="Arial"/>
          <w:b/>
          <w:i/>
          <w:noProof/>
          <w:sz w:val="28"/>
          <w:lang w:eastAsia="ko-KR"/>
        </w:rPr>
      </w:pPr>
      <w:r>
        <w:rPr>
          <w:rFonts w:ascii="Arial" w:hAnsi="Arial"/>
          <w:b/>
          <w:noProof/>
          <w:sz w:val="24"/>
        </w:rPr>
        <w:t>3GPP TSG-RAN WG2 Meeting #113e</w:t>
      </w:r>
      <w:r>
        <w:rPr>
          <w:rFonts w:ascii="Arial" w:hAnsi="Arial"/>
          <w:b/>
          <w:i/>
          <w:noProof/>
          <w:sz w:val="28"/>
        </w:rPr>
        <w:tab/>
      </w:r>
      <w:r>
        <w:rPr>
          <w:rFonts w:ascii="Arial" w:hAnsi="Arial" w:hint="eastAsia"/>
          <w:b/>
          <w:i/>
          <w:noProof/>
          <w:sz w:val="28"/>
          <w:lang w:eastAsia="ko-KR"/>
        </w:rPr>
        <w:t>R2-2</w:t>
      </w:r>
      <w:r>
        <w:rPr>
          <w:rFonts w:ascii="Arial" w:hAnsi="Arial"/>
          <w:b/>
          <w:i/>
          <w:noProof/>
          <w:sz w:val="28"/>
          <w:lang w:eastAsia="ko-KR"/>
        </w:rPr>
        <w:t>1</w:t>
      </w:r>
      <w:r>
        <w:rPr>
          <w:rFonts w:ascii="Arial" w:hAnsi="Arial" w:hint="eastAsia"/>
          <w:b/>
          <w:i/>
          <w:noProof/>
          <w:sz w:val="28"/>
          <w:lang w:eastAsia="ko-KR"/>
        </w:rPr>
        <w:t>0</w:t>
      </w:r>
      <w:r w:rsidR="002E2F9E">
        <w:rPr>
          <w:rFonts w:ascii="Arial" w:hAnsi="Arial"/>
          <w:b/>
          <w:i/>
          <w:noProof/>
          <w:sz w:val="28"/>
          <w:lang w:eastAsia="ko-KR"/>
        </w:rPr>
        <w:t>0729</w:t>
      </w:r>
      <w:bookmarkStart w:id="0" w:name="_GoBack"/>
      <w:bookmarkEnd w:id="0"/>
    </w:p>
    <w:p w:rsidR="005B3603" w:rsidRDefault="00E70620">
      <w:pPr>
        <w:widowControl w:val="0"/>
        <w:tabs>
          <w:tab w:val="left" w:pos="1701"/>
          <w:tab w:val="right" w:pos="9923"/>
        </w:tabs>
        <w:spacing w:before="120" w:after="0"/>
        <w:rPr>
          <w:rFonts w:ascii="Arial" w:eastAsiaTheme="minorEastAsia" w:hAnsi="Arial"/>
          <w:b/>
          <w:sz w:val="24"/>
          <w:szCs w:val="24"/>
          <w:lang w:eastAsia="ko-KR"/>
        </w:rPr>
      </w:pPr>
      <w:r>
        <w:rPr>
          <w:rFonts w:ascii="Arial" w:hAnsi="Arial"/>
          <w:b/>
          <w:noProof/>
          <w:sz w:val="24"/>
        </w:rPr>
        <w:fldChar w:fldCharType="begin"/>
      </w:r>
      <w:r>
        <w:rPr>
          <w:rFonts w:ascii="Arial" w:hAnsi="Arial"/>
          <w:b/>
          <w:noProof/>
          <w:sz w:val="24"/>
        </w:rPr>
        <w:instrText xml:space="preserve"> DOCPROPERTY  Location  \* MERGEFORMAT </w:instrText>
      </w:r>
      <w:r>
        <w:rPr>
          <w:rFonts w:ascii="Arial" w:hAnsi="Arial"/>
          <w:b/>
          <w:noProof/>
          <w:sz w:val="24"/>
        </w:rPr>
        <w:fldChar w:fldCharType="separate"/>
      </w:r>
      <w:r>
        <w:rPr>
          <w:rFonts w:ascii="Arial" w:hAnsi="Arial"/>
          <w:b/>
          <w:noProof/>
          <w:sz w:val="24"/>
        </w:rPr>
        <w:t xml:space="preserve"> Online</w:t>
      </w:r>
      <w:r>
        <w:rPr>
          <w:rFonts w:ascii="Arial" w:hAnsi="Arial"/>
          <w:b/>
          <w:noProof/>
          <w:sz w:val="24"/>
        </w:rPr>
        <w:fldChar w:fldCharType="end"/>
      </w:r>
      <w:r>
        <w:rPr>
          <w:rFonts w:ascii="Arial" w:hAnsi="Arial"/>
          <w:b/>
          <w:noProof/>
          <w:sz w:val="24"/>
        </w:rPr>
        <w:t>, Jan 25 – Feb 05, 2021</w:t>
      </w:r>
    </w:p>
    <w:p w:rsidR="005B3603" w:rsidRDefault="005B3603">
      <w:pPr>
        <w:pStyle w:val="CRCoverPage"/>
        <w:tabs>
          <w:tab w:val="right" w:pos="9639"/>
        </w:tabs>
        <w:spacing w:after="0"/>
        <w:rPr>
          <w:rFonts w:eastAsia="맑은 고딕"/>
          <w:b/>
          <w:noProof/>
          <w:sz w:val="24"/>
          <w:lang w:eastAsia="ko-KR"/>
        </w:rPr>
      </w:pPr>
    </w:p>
    <w:p w:rsidR="005B3603" w:rsidRDefault="00E70620">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2.2</w:t>
      </w:r>
    </w:p>
    <w:p w:rsidR="005B3603" w:rsidRDefault="00E70620">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5B3603" w:rsidRDefault="00E70620">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noProof/>
          <w:sz w:val="28"/>
          <w:szCs w:val="28"/>
          <w:lang w:val="en-US" w:eastAsia="ko-KR"/>
        </w:rPr>
        <w:t>Power-</w:t>
      </w:r>
      <w:r>
        <w:rPr>
          <w:rFonts w:ascii="Arial" w:hAnsi="Arial" w:cs="Arial"/>
          <w:b/>
          <w:noProof/>
          <w:sz w:val="28"/>
          <w:szCs w:val="28"/>
          <w:lang w:val="en-US"/>
        </w:rPr>
        <w:t>efficient SCG (De)</w:t>
      </w:r>
      <w:r>
        <w:rPr>
          <w:rFonts w:ascii="Arial" w:hAnsi="Arial" w:cs="Arial"/>
          <w:b/>
          <w:noProof/>
          <w:sz w:val="28"/>
          <w:szCs w:val="28"/>
          <w:lang w:val="en-US" w:eastAsia="ko-KR"/>
        </w:rPr>
        <w:t>activation mechanism</w:t>
      </w:r>
    </w:p>
    <w:p w:rsidR="005B3603" w:rsidRDefault="00E70620">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5B3603" w:rsidRDefault="00E70620">
      <w:pPr>
        <w:pStyle w:val="1"/>
        <w:rPr>
          <w:rFonts w:ascii="Times New Roman" w:hAnsi="Times New Roman"/>
          <w:lang w:val="en-US" w:eastAsia="ko-KR"/>
        </w:rPr>
      </w:pPr>
      <w:r>
        <w:rPr>
          <w:rFonts w:hint="eastAsia"/>
          <w:lang w:val="en-US" w:eastAsia="ko-KR"/>
        </w:rPr>
        <w:t>1. Introduction</w:t>
      </w:r>
    </w:p>
    <w:p w:rsidR="005B3603" w:rsidRDefault="00E70620">
      <w:pPr>
        <w:rPr>
          <w:lang w:eastAsia="ko-KR"/>
        </w:rPr>
      </w:pPr>
      <w:r>
        <w:rPr>
          <w:lang w:eastAsia="ko-KR"/>
        </w:rPr>
        <w:t>RAN2 has the following objectives for this work item to specify MR-DC enhancements [1]:</w:t>
      </w:r>
    </w:p>
    <w:p w:rsidR="005B3603" w:rsidRDefault="00E70620">
      <w:pPr>
        <w:numPr>
          <w:ilvl w:val="0"/>
          <w:numId w:val="39"/>
        </w:numPr>
        <w:overflowPunct w:val="0"/>
        <w:autoSpaceDE w:val="0"/>
        <w:autoSpaceDN w:val="0"/>
        <w:adjustRightInd w:val="0"/>
        <w:spacing w:after="0"/>
        <w:jc w:val="both"/>
        <w:textAlignment w:val="baseline"/>
        <w:rPr>
          <w:bCs/>
          <w:highlight w:val="yellow"/>
        </w:rPr>
      </w:pPr>
      <w:r>
        <w:rPr>
          <w:bCs/>
          <w:highlight w:val="yellow"/>
        </w:rPr>
        <w:t xml:space="preserve">Support efficient activation/de-activation mechanism for one SCG and SCells </w:t>
      </w:r>
    </w:p>
    <w:p w:rsidR="005B3603" w:rsidRDefault="00E70620">
      <w:pPr>
        <w:numPr>
          <w:ilvl w:val="0"/>
          <w:numId w:val="40"/>
        </w:numPr>
        <w:overflowPunct w:val="0"/>
        <w:autoSpaceDE w:val="0"/>
        <w:autoSpaceDN w:val="0"/>
        <w:adjustRightInd w:val="0"/>
        <w:spacing w:after="0"/>
        <w:jc w:val="both"/>
        <w:textAlignment w:val="baseline"/>
        <w:rPr>
          <w:bCs/>
          <w:highlight w:val="yellow"/>
        </w:rPr>
      </w:pPr>
      <w:r>
        <w:rPr>
          <w:bCs/>
          <w:highlight w:val="yellow"/>
        </w:rPr>
        <w:t>Support for one SCG  applies to (NG)EN-DC, and NR-DC [RAN2, RAN3, RAN4]</w:t>
      </w:r>
    </w:p>
    <w:p w:rsidR="005B3603" w:rsidRDefault="00E70620">
      <w:pPr>
        <w:numPr>
          <w:ilvl w:val="0"/>
          <w:numId w:val="40"/>
        </w:numPr>
        <w:overflowPunct w:val="0"/>
        <w:autoSpaceDE w:val="0"/>
        <w:autoSpaceDN w:val="0"/>
        <w:adjustRightInd w:val="0"/>
        <w:spacing w:after="0"/>
        <w:jc w:val="both"/>
        <w:textAlignment w:val="baseline"/>
        <w:rPr>
          <w:bCs/>
        </w:rPr>
      </w:pPr>
      <w:r>
        <w:rPr>
          <w:bCs/>
        </w:rPr>
        <w:t xml:space="preserve">Support for SCells applies to NR CA, </w:t>
      </w:r>
      <w:r>
        <w:t>based on RAN1 le</w:t>
      </w:r>
      <w:r>
        <w:rPr>
          <w:rFonts w:hint="eastAsia"/>
        </w:rPr>
        <w:t>a</w:t>
      </w:r>
      <w:r>
        <w:t>ding mechanisms</w:t>
      </w:r>
      <w:r>
        <w:rPr>
          <w:bCs/>
        </w:rPr>
        <w:t xml:space="preserve"> [RAN1, RAN2</w:t>
      </w:r>
      <w:r>
        <w:rPr>
          <w:rFonts w:hint="eastAsia"/>
          <w:bCs/>
        </w:rPr>
        <w:t>,</w:t>
      </w:r>
      <w:r>
        <w:rPr>
          <w:bCs/>
        </w:rPr>
        <w:t xml:space="preserve"> RAN4]</w:t>
      </w:r>
    </w:p>
    <w:p w:rsidR="005B3603" w:rsidRDefault="00E70620">
      <w:pPr>
        <w:numPr>
          <w:ilvl w:val="0"/>
          <w:numId w:val="40"/>
        </w:numPr>
        <w:overflowPunct w:val="0"/>
        <w:autoSpaceDE w:val="0"/>
        <w:autoSpaceDN w:val="0"/>
        <w:adjustRightInd w:val="0"/>
        <w:spacing w:after="0"/>
        <w:jc w:val="both"/>
        <w:textAlignment w:val="baseline"/>
        <w:rPr>
          <w:bCs/>
          <w:highlight w:val="yellow"/>
        </w:rPr>
      </w:pPr>
      <w:r>
        <w:rPr>
          <w:bCs/>
          <w:highlight w:val="yellow"/>
        </w:rPr>
        <w:t>This objective applies to FR1 and FR2</w:t>
      </w:r>
    </w:p>
    <w:p w:rsidR="005B3603" w:rsidRDefault="005B3603">
      <w:pPr>
        <w:spacing w:after="0"/>
        <w:ind w:left="720"/>
        <w:rPr>
          <w:bCs/>
        </w:rPr>
      </w:pPr>
    </w:p>
    <w:p w:rsidR="005B3603" w:rsidRDefault="00E70620">
      <w:pPr>
        <w:numPr>
          <w:ilvl w:val="0"/>
          <w:numId w:val="39"/>
        </w:numPr>
        <w:overflowPunct w:val="0"/>
        <w:autoSpaceDE w:val="0"/>
        <w:autoSpaceDN w:val="0"/>
        <w:adjustRightInd w:val="0"/>
        <w:spacing w:after="0"/>
        <w:jc w:val="both"/>
        <w:textAlignment w:val="baseline"/>
        <w:rPr>
          <w:bCs/>
        </w:rPr>
      </w:pPr>
      <w:r>
        <w:rPr>
          <w:bCs/>
        </w:rPr>
        <w:t>Support of conditional PSCell change</w:t>
      </w:r>
      <w:r>
        <w:rPr>
          <w:rFonts w:hint="eastAsia"/>
          <w:bCs/>
        </w:rPr>
        <w:t>/addition</w:t>
      </w:r>
      <w:r>
        <w:rPr>
          <w:bCs/>
        </w:rPr>
        <w:t xml:space="preserve"> [RAN2,RAN3]</w:t>
      </w:r>
    </w:p>
    <w:p w:rsidR="005B3603" w:rsidRDefault="00E70620">
      <w:pPr>
        <w:numPr>
          <w:ilvl w:val="0"/>
          <w:numId w:val="40"/>
        </w:numPr>
        <w:overflowPunct w:val="0"/>
        <w:autoSpaceDE w:val="0"/>
        <w:autoSpaceDN w:val="0"/>
        <w:adjustRightInd w:val="0"/>
        <w:spacing w:after="0"/>
        <w:jc w:val="both"/>
        <w:textAlignment w:val="baseline"/>
        <w:rPr>
          <w:bCs/>
        </w:rPr>
      </w:pPr>
      <w:r>
        <w:rPr>
          <w:rFonts w:hint="eastAsia"/>
          <w:bCs/>
        </w:rPr>
        <w:t>support</w:t>
      </w:r>
      <w:r>
        <w:rPr>
          <w:bCs/>
        </w:rPr>
        <w:t xml:space="preserve"> scenarios which are not addressed in Rel-16 NR mobility WI</w:t>
      </w:r>
    </w:p>
    <w:p w:rsidR="005B3603" w:rsidRDefault="005B3603">
      <w:pPr>
        <w:rPr>
          <w:rFonts w:eastAsia="맑은 고딕"/>
          <w:color w:val="000000"/>
          <w:sz w:val="18"/>
          <w:lang w:eastAsia="ko-KR"/>
        </w:rPr>
      </w:pPr>
    </w:p>
    <w:p w:rsidR="005B3603" w:rsidRDefault="00E70620">
      <w:pPr>
        <w:rPr>
          <w:lang w:eastAsia="ko-KR"/>
        </w:rPr>
      </w:pPr>
      <w:r>
        <w:rPr>
          <w:lang w:eastAsia="ko-KR"/>
        </w:rPr>
        <w:t>In this contribution, we discuss some aspects of power-efficient SCG activation/deactivation.</w:t>
      </w:r>
    </w:p>
    <w:p w:rsidR="005B3603" w:rsidRDefault="00E70620">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5B3603" w:rsidRDefault="00E70620">
      <w:pPr>
        <w:pStyle w:val="2"/>
        <w:rPr>
          <w:bCs/>
          <w:lang w:eastAsia="ko-KR"/>
        </w:rPr>
      </w:pPr>
      <w:r>
        <w:rPr>
          <w:rFonts w:hint="eastAsia"/>
          <w:bCs/>
          <w:lang w:eastAsia="ko-KR"/>
        </w:rPr>
        <w:t xml:space="preserve">2.1 </w:t>
      </w:r>
      <w:r>
        <w:rPr>
          <w:bCs/>
          <w:lang w:eastAsia="ko-KR"/>
        </w:rPr>
        <w:t>SCell State</w:t>
      </w:r>
    </w:p>
    <w:p w:rsidR="005B3603" w:rsidRDefault="00E70620">
      <w:pPr>
        <w:rPr>
          <w:lang w:eastAsia="ko-KR"/>
        </w:rPr>
      </w:pPr>
      <w:r>
        <w:rPr>
          <w:rFonts w:hint="eastAsia"/>
          <w:lang w:eastAsia="ko-KR"/>
        </w:rPr>
        <w:t xml:space="preserve">In the </w:t>
      </w:r>
      <w:r>
        <w:rPr>
          <w:lang w:eastAsia="ko-KR"/>
        </w:rPr>
        <w:t xml:space="preserve">RAN2#112e meeting, RAN2 made the following agreements </w:t>
      </w:r>
      <w:r>
        <w:rPr>
          <w:rFonts w:hint="eastAsia"/>
          <w:lang w:eastAsia="ko-KR"/>
        </w:rPr>
        <w:t xml:space="preserve">for </w:t>
      </w:r>
      <w:r>
        <w:rPr>
          <w:lang w:eastAsia="ko-KR"/>
        </w:rPr>
        <w:t>cell state transition when SCG is deactivated [2]:</w:t>
      </w:r>
    </w:p>
    <w:p w:rsidR="005B3603" w:rsidRDefault="00E70620">
      <w:pPr>
        <w:pStyle w:val="Doc-text2"/>
        <w:pBdr>
          <w:top w:val="single" w:sz="4" w:space="1" w:color="auto"/>
          <w:left w:val="single" w:sz="4" w:space="4" w:color="auto"/>
          <w:bottom w:val="single" w:sz="4" w:space="1" w:color="auto"/>
          <w:right w:val="single" w:sz="4" w:space="4" w:color="auto"/>
        </w:pBdr>
        <w:rPr>
          <w:b/>
          <w:bCs/>
        </w:rPr>
      </w:pPr>
      <w:r>
        <w:rPr>
          <w:b/>
          <w:bCs/>
        </w:rPr>
        <w:t>7a: While the SCG is deactivated:</w:t>
      </w:r>
    </w:p>
    <w:p w:rsidR="005B3603" w:rsidRDefault="00E70620">
      <w:pPr>
        <w:pStyle w:val="Doc-text2"/>
        <w:pBdr>
          <w:top w:val="single" w:sz="4" w:space="1" w:color="auto"/>
          <w:left w:val="single" w:sz="4" w:space="4" w:color="auto"/>
          <w:bottom w:val="single" w:sz="4" w:space="1" w:color="auto"/>
          <w:right w:val="single" w:sz="4" w:space="4" w:color="auto"/>
        </w:pBdr>
        <w:rPr>
          <w:b/>
          <w:bCs/>
        </w:rPr>
      </w:pPr>
      <w:r>
        <w:rPr>
          <w:b/>
          <w:bCs/>
        </w:rPr>
        <w:t>- there can be SCG SCells in deactivated state</w:t>
      </w:r>
    </w:p>
    <w:p w:rsidR="005B3603" w:rsidRDefault="00E70620">
      <w:pPr>
        <w:pStyle w:val="Doc-text2"/>
        <w:pBdr>
          <w:top w:val="single" w:sz="4" w:space="1" w:color="auto"/>
          <w:left w:val="single" w:sz="4" w:space="4" w:color="auto"/>
          <w:bottom w:val="single" w:sz="4" w:space="1" w:color="auto"/>
          <w:right w:val="single" w:sz="4" w:space="4" w:color="auto"/>
        </w:pBdr>
        <w:rPr>
          <w:b/>
          <w:bCs/>
        </w:rPr>
      </w:pPr>
      <w:r>
        <w:rPr>
          <w:b/>
          <w:bCs/>
        </w:rPr>
        <w:t>- there cannot be SCG SCells in activated state</w:t>
      </w:r>
    </w:p>
    <w:p w:rsidR="005B3603" w:rsidRDefault="00E70620">
      <w:pPr>
        <w:pStyle w:val="Doc-text2"/>
        <w:pBdr>
          <w:top w:val="single" w:sz="4" w:space="1" w:color="auto"/>
          <w:left w:val="single" w:sz="4" w:space="4" w:color="auto"/>
          <w:bottom w:val="single" w:sz="4" w:space="1" w:color="auto"/>
          <w:right w:val="single" w:sz="4" w:space="4" w:color="auto"/>
        </w:pBdr>
        <w:rPr>
          <w:b/>
          <w:bCs/>
        </w:rPr>
      </w:pPr>
      <w:r>
        <w:rPr>
          <w:b/>
          <w:bCs/>
        </w:rPr>
        <w:t>- it is FFS whether there can be SCells in SCG dormant state.</w:t>
      </w:r>
    </w:p>
    <w:p w:rsidR="005B3603" w:rsidRDefault="005B3603">
      <w:pPr>
        <w:rPr>
          <w:bCs/>
          <w:lang w:eastAsia="ko-KR"/>
        </w:rPr>
      </w:pPr>
    </w:p>
    <w:p w:rsidR="005B3603" w:rsidRDefault="00E70620">
      <w:pPr>
        <w:rPr>
          <w:bCs/>
          <w:lang w:eastAsia="ko-KR"/>
        </w:rPr>
      </w:pPr>
      <w:r>
        <w:rPr>
          <w:rFonts w:hint="eastAsia"/>
          <w:bCs/>
          <w:lang w:eastAsia="ko-KR"/>
        </w:rPr>
        <w:t xml:space="preserve">In our view, SCG SCells </w:t>
      </w:r>
      <w:r>
        <w:rPr>
          <w:bCs/>
          <w:lang w:eastAsia="ko-KR"/>
        </w:rPr>
        <w:t xml:space="preserve">don’t need to be in the dormant state while the SCG is deactivated because; </w:t>
      </w:r>
    </w:p>
    <w:p w:rsidR="005B3603" w:rsidRDefault="00E70620" w:rsidP="00C53B57">
      <w:pPr>
        <w:pStyle w:val="B1"/>
        <w:rPr>
          <w:lang w:eastAsia="ko-KR"/>
        </w:rPr>
      </w:pPr>
      <w:r>
        <w:rPr>
          <w:lang w:eastAsia="ko-KR"/>
        </w:rPr>
        <w:t>-</w:t>
      </w:r>
      <w:r>
        <w:rPr>
          <w:lang w:eastAsia="ko-KR"/>
        </w:rPr>
        <w:tab/>
        <w:t xml:space="preserve">SCells in the dormant state also consumes power. </w:t>
      </w:r>
    </w:p>
    <w:p w:rsidR="005B3603" w:rsidRDefault="00E70620" w:rsidP="00C53B57">
      <w:pPr>
        <w:pStyle w:val="B1"/>
        <w:rPr>
          <w:lang w:eastAsia="ko-KR"/>
        </w:rPr>
      </w:pPr>
      <w:r>
        <w:rPr>
          <w:lang w:eastAsia="ko-KR"/>
        </w:rPr>
        <w:t>-</w:t>
      </w:r>
      <w:r>
        <w:rPr>
          <w:lang w:eastAsia="ko-KR"/>
        </w:rPr>
        <w:tab/>
        <w:t xml:space="preserve">The purpose of the SCells is to increase the data throughput. However, the UE cannot transmit any data while the SCG is deactivated. </w:t>
      </w:r>
    </w:p>
    <w:p w:rsidR="005B3603" w:rsidRDefault="00E70620">
      <w:pPr>
        <w:rPr>
          <w:lang w:eastAsia="ko-KR"/>
        </w:rPr>
      </w:pPr>
      <w:r>
        <w:rPr>
          <w:lang w:eastAsia="ko-KR"/>
        </w:rPr>
        <w:t xml:space="preserve">If RAN2 consider </w:t>
      </w:r>
      <w:r w:rsidRPr="00C53B57">
        <w:rPr>
          <w:bCs/>
          <w:lang w:eastAsia="ko-KR"/>
        </w:rPr>
        <w:t>supporting</w:t>
      </w:r>
      <w:r>
        <w:rPr>
          <w:lang w:eastAsia="ko-KR"/>
        </w:rPr>
        <w:t xml:space="preserve"> fast SCG activation, it is enough to keep only PSCell in the dormant state while the SCG is deactivated.</w:t>
      </w:r>
    </w:p>
    <w:p w:rsidR="005B3603" w:rsidRDefault="00E70620">
      <w:pPr>
        <w:rPr>
          <w:bCs/>
          <w:lang w:eastAsia="ko-KR"/>
        </w:rPr>
      </w:pPr>
      <w:r>
        <w:rPr>
          <w:bCs/>
          <w:lang w:eastAsia="ko-KR"/>
        </w:rPr>
        <w:t>Therefore, from the power-efficiency perspective, we propose that all SCG SCells should be deactivated while the SCG is deactivated.</w:t>
      </w:r>
    </w:p>
    <w:p w:rsidR="005B3603" w:rsidRDefault="00E70620">
      <w:pPr>
        <w:rPr>
          <w:b/>
          <w:bCs/>
          <w:lang w:eastAsia="ko-KR"/>
        </w:rPr>
      </w:pPr>
      <w:r>
        <w:rPr>
          <w:rFonts w:hint="eastAsia"/>
          <w:b/>
          <w:bCs/>
          <w:lang w:eastAsia="ko-KR"/>
        </w:rPr>
        <w:lastRenderedPageBreak/>
        <w:t>Proposal</w:t>
      </w:r>
      <w:r>
        <w:rPr>
          <w:b/>
          <w:bCs/>
          <w:lang w:eastAsia="ko-KR"/>
        </w:rPr>
        <w:t xml:space="preserve"> 1. For power-efficient SCG deactivation, SCG SCells should be in the deactivated state while the SCG is deactivated.</w:t>
      </w:r>
    </w:p>
    <w:p w:rsidR="005B3603" w:rsidRDefault="005B3603">
      <w:pPr>
        <w:rPr>
          <w:bCs/>
          <w:lang w:eastAsia="ko-KR"/>
        </w:rPr>
      </w:pPr>
    </w:p>
    <w:p w:rsidR="005B3603" w:rsidRDefault="00E70620">
      <w:pPr>
        <w:pStyle w:val="2"/>
        <w:rPr>
          <w:bCs/>
          <w:lang w:eastAsia="ko-KR"/>
        </w:rPr>
      </w:pPr>
      <w:r>
        <w:rPr>
          <w:rFonts w:hint="eastAsia"/>
          <w:bCs/>
          <w:lang w:eastAsia="ko-KR"/>
        </w:rPr>
        <w:t>2.</w:t>
      </w:r>
      <w:r>
        <w:rPr>
          <w:bCs/>
          <w:lang w:eastAsia="ko-KR"/>
        </w:rPr>
        <w:t>2</w:t>
      </w:r>
      <w:r>
        <w:rPr>
          <w:rFonts w:hint="eastAsia"/>
          <w:bCs/>
          <w:lang w:eastAsia="ko-KR"/>
        </w:rPr>
        <w:t xml:space="preserve"> </w:t>
      </w:r>
      <w:r>
        <w:rPr>
          <w:bCs/>
          <w:lang w:eastAsia="ko-KR"/>
        </w:rPr>
        <w:t>(De)Activation Indication</w:t>
      </w:r>
    </w:p>
    <w:p w:rsidR="005B3603" w:rsidRDefault="00E70620">
      <w:pPr>
        <w:rPr>
          <w:bCs/>
          <w:lang w:eastAsia="ko-KR"/>
        </w:rPr>
      </w:pPr>
      <w:r>
        <w:rPr>
          <w:rFonts w:hint="eastAsia"/>
          <w:bCs/>
          <w:lang w:eastAsia="ko-KR"/>
        </w:rPr>
        <w:t>Based on the following agreements</w:t>
      </w:r>
      <w:r>
        <w:rPr>
          <w:bCs/>
          <w:lang w:eastAsia="ko-KR"/>
        </w:rPr>
        <w:t>, we can assume that the UE receives an indication in the RRC configuration to activate the SCG from the deactivated state via MCG at some RRC procedures [2]:</w:t>
      </w:r>
    </w:p>
    <w:p w:rsidR="005B3603" w:rsidRDefault="00E70620">
      <w:pPr>
        <w:pStyle w:val="Doc-text2"/>
        <w:pBdr>
          <w:top w:val="single" w:sz="4" w:space="1" w:color="auto"/>
          <w:left w:val="single" w:sz="4" w:space="4" w:color="auto"/>
          <w:bottom w:val="single" w:sz="4" w:space="1" w:color="auto"/>
          <w:right w:val="single" w:sz="4" w:space="4" w:color="auto"/>
        </w:pBdr>
        <w:rPr>
          <w:b/>
          <w:bCs/>
        </w:rPr>
      </w:pPr>
      <w:r>
        <w:rPr>
          <w:b/>
          <w:bCs/>
        </w:rPr>
        <w:t>The work will focus on a single deactivated SCG.</w:t>
      </w:r>
    </w:p>
    <w:p w:rsidR="005B3603" w:rsidRDefault="00E70620">
      <w:pPr>
        <w:pStyle w:val="Doc-text2"/>
        <w:pBdr>
          <w:top w:val="single" w:sz="4" w:space="1" w:color="auto"/>
          <w:left w:val="single" w:sz="4" w:space="4" w:color="auto"/>
          <w:bottom w:val="single" w:sz="4" w:space="1" w:color="auto"/>
          <w:right w:val="single" w:sz="4" w:space="4" w:color="auto"/>
        </w:pBdr>
        <w:rPr>
          <w:b/>
          <w:bCs/>
        </w:rPr>
      </w:pPr>
      <w:r>
        <w:rPr>
          <w:b/>
          <w:bCs/>
        </w:rPr>
        <w:t>Continue RAN2 work with the assumption that when the SCG is deactivated, the UE does not monitor PDCCH on the PSCell. This assumption can be reconsidered if issues are found.</w:t>
      </w:r>
    </w:p>
    <w:p w:rsidR="005B3603" w:rsidRDefault="00E70620">
      <w:pPr>
        <w:pStyle w:val="Doc-text2"/>
        <w:pBdr>
          <w:top w:val="single" w:sz="4" w:space="1" w:color="auto"/>
          <w:left w:val="single" w:sz="4" w:space="4" w:color="auto"/>
          <w:bottom w:val="single" w:sz="4" w:space="1" w:color="auto"/>
          <w:right w:val="single" w:sz="4" w:space="4" w:color="auto"/>
        </w:pBdr>
        <w:rPr>
          <w:b/>
          <w:bCs/>
        </w:rPr>
      </w:pPr>
      <w:r>
        <w:rPr>
          <w:b/>
          <w:bCs/>
        </w:rPr>
        <w:t>SCG RRC reconfiguration can select the SCG activation state (activated/deactivated) at PSCell addition/change, RRC resume or HO.</w:t>
      </w:r>
    </w:p>
    <w:p w:rsidR="005B3603" w:rsidRDefault="00E70620">
      <w:pPr>
        <w:pStyle w:val="Agreement"/>
        <w:tabs>
          <w:tab w:val="clear" w:pos="1619"/>
          <w:tab w:val="num" w:pos="709"/>
        </w:tabs>
        <w:ind w:left="709" w:hanging="567"/>
        <w:rPr>
          <w:rFonts w:eastAsia="맑은 고딕"/>
        </w:rPr>
      </w:pPr>
      <w:r>
        <w:t xml:space="preserve">After the session closed, Samsung commented offline that the agreement 1 is not clear and its intention was as follows: </w:t>
      </w:r>
    </w:p>
    <w:p w:rsidR="005B3603" w:rsidRDefault="00E70620">
      <w:pPr>
        <w:pStyle w:val="Agreement"/>
        <w:numPr>
          <w:ilvl w:val="0"/>
          <w:numId w:val="0"/>
        </w:numPr>
        <w:tabs>
          <w:tab w:val="num" w:pos="709"/>
        </w:tabs>
        <w:ind w:left="709" w:hanging="567"/>
        <w:rPr>
          <w:i/>
          <w:iCs/>
        </w:rPr>
      </w:pPr>
      <w:r>
        <w:rPr>
          <w:i/>
          <w:iCs/>
        </w:rPr>
        <w:t xml:space="preserve">1       </w:t>
      </w:r>
      <w:r>
        <w:rPr>
          <w:i/>
          <w:iCs/>
          <w:strike/>
          <w:color w:val="FF0000"/>
        </w:rPr>
        <w:t>SCG RRC reconfiguration can select the</w:t>
      </w:r>
      <w:r>
        <w:rPr>
          <w:i/>
          <w:iCs/>
          <w:color w:val="FF0000"/>
        </w:rPr>
        <w:t xml:space="preserve"> </w:t>
      </w:r>
      <w:r>
        <w:rPr>
          <w:i/>
          <w:iCs/>
        </w:rPr>
        <w:t xml:space="preserve">SCG activation state (activated/deactivated) </w:t>
      </w:r>
      <w:r>
        <w:rPr>
          <w:i/>
          <w:iCs/>
          <w:color w:val="FF0000"/>
          <w:u w:val="single"/>
        </w:rPr>
        <w:t>can be configured</w:t>
      </w:r>
      <w:r>
        <w:rPr>
          <w:i/>
          <w:iCs/>
          <w:color w:val="FF0000"/>
        </w:rPr>
        <w:t xml:space="preserve"> </w:t>
      </w:r>
      <w:r>
        <w:rPr>
          <w:i/>
          <w:iCs/>
        </w:rPr>
        <w:t>at PSCell addition/change, RRC resume or HO.</w:t>
      </w:r>
    </w:p>
    <w:p w:rsidR="005B3603" w:rsidRDefault="00E70620">
      <w:pPr>
        <w:pStyle w:val="Agreement"/>
        <w:tabs>
          <w:tab w:val="clear" w:pos="1619"/>
          <w:tab w:val="num" w:pos="709"/>
        </w:tabs>
        <w:ind w:left="709" w:hanging="567"/>
        <w:rPr>
          <w:rFonts w:eastAsia="맑은 고딕"/>
        </w:rPr>
      </w:pPr>
      <w:r>
        <w:t xml:space="preserve">The WI rapporteur (Huawei) indicated this was the intention, so this wording is recommended to clarify the meaning of the original agreement 1 above. </w:t>
      </w:r>
    </w:p>
    <w:p w:rsidR="005B3603" w:rsidRDefault="005B3603">
      <w:pPr>
        <w:rPr>
          <w:bCs/>
          <w:lang w:eastAsia="ko-KR"/>
        </w:rPr>
      </w:pPr>
    </w:p>
    <w:p w:rsidR="005B3603" w:rsidRDefault="00E70620">
      <w:pPr>
        <w:rPr>
          <w:bCs/>
          <w:lang w:eastAsia="ko-KR"/>
        </w:rPr>
      </w:pPr>
      <w:r>
        <w:rPr>
          <w:bCs/>
          <w:lang w:eastAsia="ko-KR"/>
        </w:rPr>
        <w:t xml:space="preserve">The purpose of the SCG activation via SCG is to support fast SCG activation by removal of inter-node signalling. However, RAN2 needs to decide first whether the UE can receive the SCG activation indication via SCG. </w:t>
      </w:r>
    </w:p>
    <w:p w:rsidR="005B3603" w:rsidRDefault="00E70620">
      <w:pPr>
        <w:rPr>
          <w:bCs/>
          <w:lang w:eastAsia="ko-KR"/>
        </w:rPr>
      </w:pPr>
      <w:r>
        <w:rPr>
          <w:bCs/>
          <w:lang w:eastAsia="ko-KR"/>
        </w:rPr>
        <w:t>In our view, the SCG activation via SCG shouldn’t be allowed to avoid PDCCH monitoring on SCG while the SCG is deactivated. Otherwise, the UE should consume its power to monitor PDCCH on SCG. Note that the PDCCH monitoring is the most critical cause of power consumption.</w:t>
      </w:r>
    </w:p>
    <w:p w:rsidR="005B3603" w:rsidRDefault="00E70620">
      <w:pPr>
        <w:rPr>
          <w:b/>
          <w:bCs/>
          <w:lang w:eastAsia="ko-KR"/>
        </w:rPr>
      </w:pPr>
      <w:r>
        <w:rPr>
          <w:rFonts w:hint="eastAsia"/>
          <w:b/>
          <w:bCs/>
          <w:lang w:eastAsia="ko-KR"/>
        </w:rPr>
        <w:t>P</w:t>
      </w:r>
      <w:r>
        <w:rPr>
          <w:b/>
          <w:bCs/>
          <w:lang w:eastAsia="ko-KR"/>
        </w:rPr>
        <w:t>roposal 2. For power-efficient SCG deactivation, the SCG activation indication is only provided via MCG</w:t>
      </w:r>
    </w:p>
    <w:p w:rsidR="005B3603" w:rsidRDefault="005B3603">
      <w:pPr>
        <w:rPr>
          <w:bCs/>
          <w:lang w:eastAsia="ko-KR"/>
        </w:rPr>
      </w:pPr>
    </w:p>
    <w:p w:rsidR="005B3603" w:rsidRDefault="00E70620">
      <w:pPr>
        <w:pStyle w:val="2"/>
        <w:rPr>
          <w:bCs/>
          <w:lang w:eastAsia="ko-KR"/>
        </w:rPr>
      </w:pPr>
      <w:r>
        <w:rPr>
          <w:rFonts w:hint="eastAsia"/>
          <w:bCs/>
          <w:lang w:eastAsia="ko-KR"/>
        </w:rPr>
        <w:t>2.</w:t>
      </w:r>
      <w:r>
        <w:rPr>
          <w:bCs/>
          <w:lang w:eastAsia="ko-KR"/>
        </w:rPr>
        <w:t>2</w:t>
      </w:r>
      <w:r>
        <w:rPr>
          <w:rFonts w:hint="eastAsia"/>
          <w:bCs/>
          <w:lang w:eastAsia="ko-KR"/>
        </w:rPr>
        <w:t xml:space="preserve"> </w:t>
      </w:r>
      <w:r>
        <w:rPr>
          <w:bCs/>
          <w:lang w:eastAsia="ko-KR"/>
        </w:rPr>
        <w:t>RRM</w:t>
      </w:r>
    </w:p>
    <w:p w:rsidR="005B3603" w:rsidRDefault="00C53B57">
      <w:pPr>
        <w:rPr>
          <w:lang w:eastAsia="ko-KR"/>
        </w:rPr>
      </w:pPr>
      <w:r>
        <w:rPr>
          <w:lang w:eastAsia="ko-KR"/>
        </w:rPr>
        <w:t>I</w:t>
      </w:r>
      <w:r>
        <w:rPr>
          <w:rFonts w:hint="eastAsia"/>
          <w:lang w:eastAsia="ko-KR"/>
        </w:rPr>
        <w:t xml:space="preserve">n the </w:t>
      </w:r>
      <w:r>
        <w:rPr>
          <w:lang w:eastAsia="ko-KR"/>
        </w:rPr>
        <w:t xml:space="preserve">RAN2#112e meeting, RAN2 made the following agreements </w:t>
      </w:r>
      <w:r>
        <w:rPr>
          <w:rFonts w:hint="eastAsia"/>
          <w:lang w:eastAsia="ko-KR"/>
        </w:rPr>
        <w:t>for</w:t>
      </w:r>
      <w:r>
        <w:rPr>
          <w:lang w:eastAsia="ko-KR"/>
        </w:rPr>
        <w:t xml:space="preserve"> RRM [2]:</w:t>
      </w:r>
    </w:p>
    <w:p w:rsidR="00C53B57" w:rsidRPr="00C53B57" w:rsidRDefault="00C53B57" w:rsidP="00C53B57">
      <w:pPr>
        <w:pStyle w:val="Doc-text2"/>
        <w:pBdr>
          <w:top w:val="single" w:sz="4" w:space="1" w:color="auto"/>
          <w:left w:val="single" w:sz="4" w:space="4" w:color="auto"/>
          <w:bottom w:val="single" w:sz="4" w:space="1" w:color="auto"/>
          <w:right w:val="single" w:sz="4" w:space="4" w:color="auto"/>
        </w:pBdr>
        <w:rPr>
          <w:b/>
          <w:bCs/>
        </w:rPr>
      </w:pPr>
      <w:r w:rsidRPr="00C53B57">
        <w:rPr>
          <w:b/>
          <w:bCs/>
        </w:rPr>
        <w:t xml:space="preserve">While the SCG is deactivated, PSCell mobility is supported. MN- and SN-configured measurements are supported for deactivated SCG. </w:t>
      </w:r>
    </w:p>
    <w:p w:rsidR="00C53B57" w:rsidRPr="00C53B57" w:rsidRDefault="00C53B57" w:rsidP="00C53B57">
      <w:pPr>
        <w:pStyle w:val="Doc-text2"/>
        <w:pBdr>
          <w:top w:val="single" w:sz="4" w:space="1" w:color="auto"/>
          <w:left w:val="single" w:sz="4" w:space="4" w:color="auto"/>
          <w:bottom w:val="single" w:sz="4" w:space="1" w:color="auto"/>
          <w:right w:val="single" w:sz="4" w:space="4" w:color="auto"/>
        </w:pBdr>
        <w:rPr>
          <w:b/>
          <w:bCs/>
        </w:rPr>
      </w:pPr>
      <w:r w:rsidRPr="00C53B57">
        <w:rPr>
          <w:b/>
          <w:bCs/>
        </w:rPr>
        <w:t>FFS1: Details on the performed measurements (e.g. all SN configured measurements or subset based on certain criteria, restrictions on inter-frequency/RAT)</w:t>
      </w:r>
    </w:p>
    <w:p w:rsidR="00C53B57" w:rsidRPr="00C53B57" w:rsidRDefault="00C53B57" w:rsidP="00C53B57">
      <w:pPr>
        <w:pStyle w:val="Doc-text2"/>
        <w:pBdr>
          <w:top w:val="single" w:sz="4" w:space="1" w:color="auto"/>
          <w:left w:val="single" w:sz="4" w:space="4" w:color="auto"/>
          <w:bottom w:val="single" w:sz="4" w:space="1" w:color="auto"/>
          <w:right w:val="single" w:sz="4" w:space="4" w:color="auto"/>
        </w:pBdr>
        <w:rPr>
          <w:b/>
          <w:bCs/>
        </w:rPr>
      </w:pPr>
      <w:r w:rsidRPr="00C53B57">
        <w:rPr>
          <w:b/>
          <w:bCs/>
        </w:rPr>
        <w:t>8a: It is FFS whether the network can configure the UE stop certain configured RRM measurements while the SCG is deactivated, or can release certain RRM measurements at SCG deactivation.</w:t>
      </w:r>
    </w:p>
    <w:p w:rsidR="00C53B57" w:rsidRDefault="00C53B57" w:rsidP="00C53B57">
      <w:pPr>
        <w:pStyle w:val="Doc-text2"/>
        <w:pBdr>
          <w:top w:val="single" w:sz="4" w:space="1" w:color="auto"/>
          <w:left w:val="single" w:sz="4" w:space="4" w:color="auto"/>
          <w:bottom w:val="single" w:sz="4" w:space="1" w:color="auto"/>
          <w:right w:val="single" w:sz="4" w:space="4" w:color="auto"/>
        </w:pBdr>
        <w:rPr>
          <w:b/>
          <w:bCs/>
        </w:rPr>
      </w:pPr>
      <w:r w:rsidRPr="00C53B57">
        <w:rPr>
          <w:b/>
          <w:bCs/>
        </w:rPr>
        <w:t>8b: Relaxation of RRM measurement requirements (as compared with non-DRX activated cell requirements) while the SCG is deactivated is FFS.</w:t>
      </w:r>
    </w:p>
    <w:p w:rsidR="00C53B57" w:rsidRDefault="00C53B57">
      <w:pPr>
        <w:rPr>
          <w:bCs/>
          <w:lang w:eastAsia="ko-KR"/>
        </w:rPr>
      </w:pPr>
    </w:p>
    <w:p w:rsidR="00C53B57" w:rsidRDefault="00C53B57" w:rsidP="00C53B57">
      <w:pPr>
        <w:jc w:val="both"/>
        <w:rPr>
          <w:lang w:eastAsia="ko-KR"/>
        </w:rPr>
      </w:pPr>
      <w:r>
        <w:rPr>
          <w:lang w:eastAsia="ko-KR"/>
        </w:rPr>
        <w:t xml:space="preserve">RAN2 agreed to support the RRM measurements configured by SN while SCG is deactivated, but most companies also proposed that the </w:t>
      </w:r>
      <w:r w:rsidRPr="00EE576D">
        <w:rPr>
          <w:lang w:eastAsia="ko-KR"/>
        </w:rPr>
        <w:t>reduced</w:t>
      </w:r>
      <w:r>
        <w:rPr>
          <w:lang w:eastAsia="ko-KR"/>
        </w:rPr>
        <w:t xml:space="preserve"> measurements would be useful to</w:t>
      </w:r>
      <w:r>
        <w:rPr>
          <w:rFonts w:hint="eastAsia"/>
          <w:lang w:eastAsia="ko-KR"/>
        </w:rPr>
        <w:t xml:space="preserve"> maximi</w:t>
      </w:r>
      <w:r>
        <w:rPr>
          <w:lang w:eastAsia="ko-KR"/>
        </w:rPr>
        <w:t>ze</w:t>
      </w:r>
      <w:r>
        <w:rPr>
          <w:rFonts w:hint="eastAsia"/>
          <w:lang w:eastAsia="ko-KR"/>
        </w:rPr>
        <w:t xml:space="preserve"> </w:t>
      </w:r>
      <w:r>
        <w:rPr>
          <w:lang w:eastAsia="ko-KR"/>
        </w:rPr>
        <w:t>the power saving gain of the SCG deactivation.</w:t>
      </w:r>
    </w:p>
    <w:p w:rsidR="00C53B57" w:rsidRDefault="00C53B57" w:rsidP="00C53B57">
      <w:pPr>
        <w:jc w:val="both"/>
        <w:rPr>
          <w:lang w:eastAsia="ko-KR"/>
        </w:rPr>
      </w:pPr>
      <w:r>
        <w:rPr>
          <w:rFonts w:hint="eastAsia"/>
          <w:lang w:eastAsia="ko-KR"/>
        </w:rPr>
        <w:t xml:space="preserve">One simple way to reduce </w:t>
      </w:r>
      <w:r>
        <w:rPr>
          <w:lang w:eastAsia="ko-KR"/>
        </w:rPr>
        <w:t xml:space="preserve">the </w:t>
      </w:r>
      <w:r>
        <w:rPr>
          <w:lang w:eastAsia="zh-CN"/>
        </w:rPr>
        <w:t>measurements would be to let UE measure pre-defined frequencies according to the fixed rule,</w:t>
      </w:r>
      <w:r w:rsidRPr="00A8151C">
        <w:rPr>
          <w:lang w:eastAsia="zh-CN"/>
        </w:rPr>
        <w:t xml:space="preserve"> </w:t>
      </w:r>
      <w:r>
        <w:rPr>
          <w:lang w:eastAsia="zh-CN"/>
        </w:rPr>
        <w:t>i.e. measurement for serving frequencies</w:t>
      </w:r>
      <w:r w:rsidRPr="00A8151C">
        <w:rPr>
          <w:lang w:eastAsia="ko-KR"/>
        </w:rPr>
        <w:t xml:space="preserve"> </w:t>
      </w:r>
      <w:r>
        <w:rPr>
          <w:lang w:eastAsia="ko-KR"/>
        </w:rPr>
        <w:t>while SCG is deactivated</w:t>
      </w:r>
      <w:r>
        <w:rPr>
          <w:lang w:eastAsia="zh-CN"/>
        </w:rPr>
        <w:t xml:space="preserve">. According to the previous agreement, </w:t>
      </w:r>
      <w:r>
        <w:rPr>
          <w:rFonts w:hint="eastAsia"/>
          <w:lang w:eastAsia="ko-KR"/>
        </w:rPr>
        <w:t xml:space="preserve">the </w:t>
      </w:r>
      <w:r>
        <w:rPr>
          <w:lang w:eastAsia="ko-KR"/>
        </w:rPr>
        <w:lastRenderedPageBreak/>
        <w:t>measurement for PSCell</w:t>
      </w:r>
      <w:r>
        <w:rPr>
          <w:rFonts w:hint="eastAsia"/>
          <w:lang w:eastAsia="ko-KR"/>
        </w:rPr>
        <w:t xml:space="preserve"> </w:t>
      </w:r>
      <w:r>
        <w:rPr>
          <w:lang w:eastAsia="ko-KR"/>
        </w:rPr>
        <w:t xml:space="preserve">should </w:t>
      </w:r>
      <w:r>
        <w:rPr>
          <w:rFonts w:hint="eastAsia"/>
          <w:lang w:eastAsia="ko-KR"/>
        </w:rPr>
        <w:t>always</w:t>
      </w:r>
      <w:r>
        <w:rPr>
          <w:lang w:eastAsia="ko-KR"/>
        </w:rPr>
        <w:t xml:space="preserve"> be maintained to support PSCell mobility for deactivated SCG. However, in case of SCell mobility, it is not as essential as PSCell mobility and the SCells can be changed or removed after SCG activation</w:t>
      </w:r>
      <w:r>
        <w:rPr>
          <w:rFonts w:hint="eastAsia"/>
          <w:lang w:eastAsia="ko-KR"/>
        </w:rPr>
        <w:t>.</w:t>
      </w:r>
      <w:r>
        <w:rPr>
          <w:lang w:eastAsia="ko-KR"/>
        </w:rPr>
        <w:t xml:space="preserve"> Therefore, it seems reasonable that network can configure whether to measure for each SCell frequency.</w:t>
      </w:r>
    </w:p>
    <w:p w:rsidR="00C53B57" w:rsidRDefault="00C53B57" w:rsidP="00C53B57">
      <w:pPr>
        <w:jc w:val="both"/>
        <w:rPr>
          <w:lang w:eastAsia="ko-KR"/>
        </w:rPr>
      </w:pPr>
      <w:r>
        <w:rPr>
          <w:lang w:eastAsia="ko-KR"/>
        </w:rPr>
        <w:t xml:space="preserve">The measurement for neighbour frequency also may be </w:t>
      </w:r>
      <w:r w:rsidRPr="00AD068B">
        <w:rPr>
          <w:lang w:eastAsia="ko-KR"/>
        </w:rPr>
        <w:t>essential</w:t>
      </w:r>
      <w:r>
        <w:rPr>
          <w:lang w:eastAsia="ko-KR"/>
        </w:rPr>
        <w:t xml:space="preserve"> in some cases for </w:t>
      </w:r>
      <w:r w:rsidRPr="00013024">
        <w:rPr>
          <w:lang w:eastAsia="ko-KR"/>
        </w:rPr>
        <w:t xml:space="preserve">robust </w:t>
      </w:r>
      <w:r>
        <w:rPr>
          <w:lang w:eastAsia="ko-KR"/>
        </w:rPr>
        <w:t>PSCell mobility. If UE is allowed to suspend the measurements for a certain neighbour frequency</w:t>
      </w:r>
      <w:r>
        <w:rPr>
          <w:rFonts w:hint="eastAsia"/>
          <w:lang w:eastAsia="ko-KR"/>
        </w:rPr>
        <w:t>,</w:t>
      </w:r>
      <w:r>
        <w:rPr>
          <w:lang w:eastAsia="ko-KR"/>
        </w:rPr>
        <w:t xml:space="preserve"> the frequency should be</w:t>
      </w:r>
      <w:r>
        <w:rPr>
          <w:lang w:eastAsia="zh-CN"/>
        </w:rPr>
        <w:t xml:space="preserve"> less essential than other frequencies. However, it is impossible for UE to make a decision on which neighbour frequency is more/less essential. </w:t>
      </w:r>
      <w:r>
        <w:rPr>
          <w:lang w:eastAsia="ko-KR"/>
        </w:rPr>
        <w:t>Therefore, the pre-defined rule based reduced measurement is also not suitable for neighbour frequency measurements.</w:t>
      </w:r>
    </w:p>
    <w:p w:rsidR="00C53B57" w:rsidRDefault="00C53B57" w:rsidP="00C53B57">
      <w:pPr>
        <w:jc w:val="both"/>
        <w:rPr>
          <w:lang w:eastAsia="ko-KR"/>
        </w:rPr>
      </w:pPr>
      <w:r w:rsidRPr="00BC5EF9">
        <w:rPr>
          <w:lang w:eastAsia="ko-KR"/>
        </w:rPr>
        <w:t xml:space="preserve">If </w:t>
      </w:r>
      <w:r>
        <w:rPr>
          <w:lang w:eastAsia="ko-KR"/>
        </w:rPr>
        <w:t>SCG (</w:t>
      </w:r>
      <w:r w:rsidRPr="00BC5EF9">
        <w:rPr>
          <w:lang w:eastAsia="ko-KR"/>
        </w:rPr>
        <w:t>de</w:t>
      </w:r>
      <w:r>
        <w:rPr>
          <w:lang w:eastAsia="ko-KR"/>
        </w:rPr>
        <w:t>-)</w:t>
      </w:r>
      <w:r w:rsidRPr="00BC5EF9">
        <w:rPr>
          <w:lang w:eastAsia="ko-KR"/>
        </w:rPr>
        <w:t>activation</w:t>
      </w:r>
      <w:r>
        <w:rPr>
          <w:lang w:eastAsia="ko-KR"/>
        </w:rPr>
        <w:t xml:space="preserve"> command</w:t>
      </w:r>
      <w:r w:rsidRPr="00BC5EF9">
        <w:rPr>
          <w:lang w:eastAsia="ko-KR"/>
        </w:rPr>
        <w:t xml:space="preserve"> is always </w:t>
      </w:r>
      <w:r>
        <w:rPr>
          <w:lang w:eastAsia="ko-KR"/>
        </w:rPr>
        <w:t xml:space="preserve">signalled via </w:t>
      </w:r>
      <w:r w:rsidRPr="00BC5EF9">
        <w:rPr>
          <w:lang w:eastAsia="ko-KR"/>
        </w:rPr>
        <w:t xml:space="preserve">SCG </w:t>
      </w:r>
      <w:r w:rsidRPr="0005501E">
        <w:rPr>
          <w:i/>
          <w:lang w:eastAsia="ko-KR"/>
        </w:rPr>
        <w:t>RRCReconfiguration</w:t>
      </w:r>
      <w:r w:rsidRPr="00BC5EF9">
        <w:rPr>
          <w:lang w:eastAsia="ko-KR"/>
        </w:rPr>
        <w:t xml:space="preserve">, </w:t>
      </w:r>
      <w:r>
        <w:rPr>
          <w:lang w:eastAsia="ko-KR"/>
        </w:rPr>
        <w:t xml:space="preserve">the </w:t>
      </w:r>
      <w:r w:rsidRPr="005A7402">
        <w:rPr>
          <w:lang w:eastAsia="ko-KR"/>
        </w:rPr>
        <w:t>reduced</w:t>
      </w:r>
      <w:r>
        <w:rPr>
          <w:lang w:eastAsia="ko-KR"/>
        </w:rPr>
        <w:t xml:space="preserve"> measurements</w:t>
      </w:r>
      <w:r w:rsidRPr="00BC5EF9">
        <w:rPr>
          <w:lang w:eastAsia="ko-KR"/>
        </w:rPr>
        <w:t xml:space="preserve"> can rely on explicit </w:t>
      </w:r>
      <w:r>
        <w:rPr>
          <w:lang w:eastAsia="ko-KR"/>
        </w:rPr>
        <w:t>reconfiguration</w:t>
      </w:r>
      <w:r>
        <w:rPr>
          <w:rFonts w:hint="eastAsia"/>
          <w:lang w:eastAsia="ko-KR"/>
        </w:rPr>
        <w:t>,</w:t>
      </w:r>
      <w:r>
        <w:rPr>
          <w:lang w:eastAsia="ko-KR"/>
        </w:rPr>
        <w:t xml:space="preserve"> i.e. using </w:t>
      </w:r>
      <w:r w:rsidRPr="00260DBF">
        <w:rPr>
          <w:i/>
          <w:lang w:eastAsia="ko-KR"/>
        </w:rPr>
        <w:t>measConfig</w:t>
      </w:r>
      <w:r>
        <w:rPr>
          <w:lang w:eastAsia="ko-KR"/>
        </w:rPr>
        <w:t xml:space="preserve"> in </w:t>
      </w:r>
      <w:r w:rsidRPr="00BC5EF9">
        <w:rPr>
          <w:lang w:eastAsia="ko-KR"/>
        </w:rPr>
        <w:t xml:space="preserve">SCG </w:t>
      </w:r>
      <w:r w:rsidRPr="0005501E">
        <w:rPr>
          <w:i/>
          <w:lang w:eastAsia="ko-KR"/>
        </w:rPr>
        <w:t>RRCReconfiguration</w:t>
      </w:r>
      <w:r>
        <w:rPr>
          <w:lang w:eastAsia="ko-KR"/>
        </w:rPr>
        <w:t xml:space="preserve">. However, </w:t>
      </w:r>
      <w:r w:rsidRPr="00AA3622">
        <w:rPr>
          <w:lang w:eastAsia="ko-KR"/>
        </w:rPr>
        <w:t xml:space="preserve">if the SCG can be deactivated </w:t>
      </w:r>
      <w:r>
        <w:rPr>
          <w:lang w:eastAsia="ko-KR"/>
        </w:rPr>
        <w:t xml:space="preserve">by MCG </w:t>
      </w:r>
      <w:r w:rsidRPr="00AA3622">
        <w:rPr>
          <w:lang w:eastAsia="ko-KR"/>
        </w:rPr>
        <w:t xml:space="preserve">without </w:t>
      </w:r>
      <w:r>
        <w:rPr>
          <w:lang w:eastAsia="ko-KR"/>
        </w:rPr>
        <w:t xml:space="preserve">coordination with </w:t>
      </w:r>
      <w:r w:rsidRPr="00AA3622">
        <w:rPr>
          <w:lang w:eastAsia="ko-KR"/>
        </w:rPr>
        <w:t xml:space="preserve">SCG, </w:t>
      </w:r>
      <w:r>
        <w:rPr>
          <w:lang w:eastAsia="ko-KR"/>
        </w:rPr>
        <w:t xml:space="preserve">the SCG </w:t>
      </w:r>
      <w:r w:rsidRPr="00F24ECD">
        <w:rPr>
          <w:i/>
          <w:lang w:eastAsia="ko-KR"/>
        </w:rPr>
        <w:t>RRCReconfiguration</w:t>
      </w:r>
      <w:r w:rsidRPr="00AA3622">
        <w:rPr>
          <w:lang w:eastAsia="ko-KR"/>
        </w:rPr>
        <w:t xml:space="preserve"> based solution cannot work</w:t>
      </w:r>
      <w:r>
        <w:rPr>
          <w:lang w:eastAsia="ko-KR"/>
        </w:rPr>
        <w:t xml:space="preserve"> in this case</w:t>
      </w:r>
      <w:r w:rsidRPr="00AA3622">
        <w:rPr>
          <w:lang w:eastAsia="ko-KR"/>
        </w:rPr>
        <w:t>.</w:t>
      </w:r>
      <w:r>
        <w:rPr>
          <w:lang w:eastAsia="ko-KR"/>
        </w:rPr>
        <w:t xml:space="preserve"> Even though the SCG always </w:t>
      </w:r>
      <w:r w:rsidRPr="00F522DD">
        <w:rPr>
          <w:lang w:eastAsia="ko-KR"/>
        </w:rPr>
        <w:t>get involved in</w:t>
      </w:r>
      <w:r>
        <w:rPr>
          <w:lang w:eastAsia="ko-KR"/>
        </w:rPr>
        <w:t xml:space="preserve"> the SCG (</w:t>
      </w:r>
      <w:r w:rsidRPr="00BC5EF9">
        <w:rPr>
          <w:lang w:eastAsia="ko-KR"/>
        </w:rPr>
        <w:t>de</w:t>
      </w:r>
      <w:r>
        <w:rPr>
          <w:lang w:eastAsia="ko-KR"/>
        </w:rPr>
        <w:t>-)</w:t>
      </w:r>
      <w:r w:rsidRPr="00BC5EF9">
        <w:rPr>
          <w:lang w:eastAsia="ko-KR"/>
        </w:rPr>
        <w:t>activation</w:t>
      </w:r>
      <w:r w:rsidRPr="00AA3622">
        <w:rPr>
          <w:lang w:eastAsia="ko-KR"/>
        </w:rPr>
        <w:t xml:space="preserve">, </w:t>
      </w:r>
      <w:r>
        <w:rPr>
          <w:lang w:eastAsia="ko-KR"/>
        </w:rPr>
        <w:t>i</w:t>
      </w:r>
      <w:r w:rsidRPr="00AA3622">
        <w:rPr>
          <w:lang w:eastAsia="ko-KR"/>
        </w:rPr>
        <w:t>f</w:t>
      </w:r>
      <w:r>
        <w:rPr>
          <w:lang w:eastAsia="ko-KR"/>
        </w:rPr>
        <w:t xml:space="preserve"> lower layer signal, e.g. MAC or PHY layer</w:t>
      </w:r>
      <w:r w:rsidRPr="00AA3622">
        <w:rPr>
          <w:lang w:eastAsia="ko-KR"/>
        </w:rPr>
        <w:t xml:space="preserve">, is used to </w:t>
      </w:r>
      <w:r>
        <w:rPr>
          <w:lang w:eastAsia="ko-KR"/>
        </w:rPr>
        <w:t>indicate the SCG (</w:t>
      </w:r>
      <w:r w:rsidRPr="00BC5EF9">
        <w:rPr>
          <w:lang w:eastAsia="ko-KR"/>
        </w:rPr>
        <w:t>de</w:t>
      </w:r>
      <w:r>
        <w:rPr>
          <w:lang w:eastAsia="ko-KR"/>
        </w:rPr>
        <w:t>-)</w:t>
      </w:r>
      <w:r w:rsidRPr="00BC5EF9">
        <w:rPr>
          <w:lang w:eastAsia="ko-KR"/>
        </w:rPr>
        <w:t>activation</w:t>
      </w:r>
      <w:r w:rsidRPr="00AA3622">
        <w:rPr>
          <w:lang w:eastAsia="ko-KR"/>
        </w:rPr>
        <w:t xml:space="preserve">, </w:t>
      </w:r>
      <w:r>
        <w:rPr>
          <w:lang w:eastAsia="ko-KR"/>
        </w:rPr>
        <w:t>the measurement</w:t>
      </w:r>
      <w:r w:rsidRPr="00AA3622">
        <w:rPr>
          <w:lang w:eastAsia="ko-KR"/>
        </w:rPr>
        <w:t xml:space="preserve"> reconfiguration </w:t>
      </w:r>
      <w:r>
        <w:rPr>
          <w:lang w:eastAsia="ko-KR"/>
        </w:rPr>
        <w:t xml:space="preserve">using RRC signal </w:t>
      </w:r>
      <w:r w:rsidRPr="00C06D10">
        <w:rPr>
          <w:lang w:eastAsia="ko-KR"/>
        </w:rPr>
        <w:t>is very cumbersome</w:t>
      </w:r>
      <w:r>
        <w:rPr>
          <w:lang w:eastAsia="ko-KR"/>
        </w:rPr>
        <w:t>, especially when the SCG (</w:t>
      </w:r>
      <w:r w:rsidRPr="00BC5EF9">
        <w:rPr>
          <w:lang w:eastAsia="ko-KR"/>
        </w:rPr>
        <w:t>de</w:t>
      </w:r>
      <w:r>
        <w:rPr>
          <w:lang w:eastAsia="ko-KR"/>
        </w:rPr>
        <w:t>-)</w:t>
      </w:r>
      <w:r w:rsidRPr="00BC5EF9">
        <w:rPr>
          <w:lang w:eastAsia="ko-KR"/>
        </w:rPr>
        <w:t>activation</w:t>
      </w:r>
      <w:r>
        <w:rPr>
          <w:lang w:eastAsia="ko-KR"/>
        </w:rPr>
        <w:t xml:space="preserve"> is frequently commanded. </w:t>
      </w:r>
    </w:p>
    <w:p w:rsidR="00C53B57" w:rsidRPr="00C67EC4" w:rsidRDefault="00C53B57" w:rsidP="00C53B57">
      <w:pPr>
        <w:jc w:val="both"/>
        <w:rPr>
          <w:lang w:eastAsia="ko-KR"/>
        </w:rPr>
      </w:pPr>
      <w:r>
        <w:rPr>
          <w:lang w:eastAsia="ko-KR"/>
        </w:rPr>
        <w:t xml:space="preserve">To avoid bulky signalling whenever SCG is activated/deactivated, nonessential measurement object should be pre-configured, and UE should be allowed to </w:t>
      </w:r>
      <w:r w:rsidRPr="000B7941">
        <w:rPr>
          <w:lang w:eastAsia="ko-KR"/>
        </w:rPr>
        <w:t xml:space="preserve">autonomously </w:t>
      </w:r>
      <w:r>
        <w:rPr>
          <w:lang w:eastAsia="ko-KR"/>
        </w:rPr>
        <w:t xml:space="preserve">suspend the measurements on </w:t>
      </w:r>
      <w:r w:rsidRPr="0025549C">
        <w:rPr>
          <w:lang w:eastAsia="ko-KR"/>
        </w:rPr>
        <w:t xml:space="preserve">nonessential </w:t>
      </w:r>
      <w:r>
        <w:rPr>
          <w:lang w:eastAsia="ko-KR"/>
        </w:rPr>
        <w:t>measurement object when SCG is deactivated, and resume it when SCG is activated.</w:t>
      </w:r>
    </w:p>
    <w:p w:rsidR="00C53B57" w:rsidRDefault="00C53B57" w:rsidP="00C53B57">
      <w:pPr>
        <w:rPr>
          <w:b/>
          <w:bCs/>
          <w:lang w:eastAsia="ko-KR"/>
        </w:rPr>
      </w:pPr>
      <w:r w:rsidRPr="00C53B57">
        <w:rPr>
          <w:b/>
          <w:bCs/>
          <w:lang w:eastAsia="ko-KR"/>
        </w:rPr>
        <w:t xml:space="preserve">Proposal </w:t>
      </w:r>
      <w:r>
        <w:rPr>
          <w:b/>
          <w:bCs/>
          <w:lang w:eastAsia="ko-KR"/>
        </w:rPr>
        <w:t xml:space="preserve">3. </w:t>
      </w:r>
      <w:r w:rsidRPr="00C53B57">
        <w:rPr>
          <w:b/>
          <w:bCs/>
          <w:lang w:eastAsia="ko-KR"/>
        </w:rPr>
        <w:t>For nonessential frequencies pre-configured by SN, UE suspends the measurements when SCG is deactivated, and resumes it when SCG is activated.</w:t>
      </w:r>
    </w:p>
    <w:p w:rsidR="00C53B57" w:rsidRPr="00C53B57" w:rsidRDefault="00C53B57" w:rsidP="00C53B57">
      <w:pPr>
        <w:rPr>
          <w:b/>
          <w:bCs/>
          <w:lang w:eastAsia="ko-KR"/>
        </w:rPr>
      </w:pPr>
    </w:p>
    <w:p w:rsidR="00C53B57" w:rsidRPr="00DC7C7F" w:rsidRDefault="00C53B57" w:rsidP="00C53B57">
      <w:pPr>
        <w:jc w:val="both"/>
        <w:rPr>
          <w:rFonts w:eastAsia="SimSun"/>
          <w:lang w:eastAsia="zh-CN"/>
        </w:rPr>
      </w:pPr>
      <w:r>
        <w:rPr>
          <w:lang w:eastAsia="zh-CN"/>
        </w:rPr>
        <w:t>Another way to reduce the power consumed by RRM measurement would be to relax further the measurement requirements. For SCell frequency, the relaxed measurement is already supported. If further relaxation is needed, e.g. for PSCell frequency or neighbour frequency, new relaxed requirement should be defined, and it should be up to RAN4.</w:t>
      </w:r>
    </w:p>
    <w:p w:rsidR="00C53B57" w:rsidRPr="00C53B57" w:rsidRDefault="00C53B57" w:rsidP="00C53B57">
      <w:pPr>
        <w:rPr>
          <w:bCs/>
          <w:lang w:eastAsia="ko-KR"/>
        </w:rPr>
      </w:pPr>
      <w:r w:rsidRPr="006E64F6">
        <w:rPr>
          <w:rFonts w:eastAsia="맑은 고딕"/>
          <w:b/>
          <w:lang w:eastAsia="ko-KR"/>
        </w:rPr>
        <w:t xml:space="preserve">Proposal </w:t>
      </w:r>
      <w:r>
        <w:rPr>
          <w:rFonts w:eastAsia="맑은 고딕"/>
          <w:b/>
          <w:lang w:eastAsia="ko-KR"/>
        </w:rPr>
        <w:t>4. Leave the further r</w:t>
      </w:r>
      <w:r w:rsidRPr="006E64F6">
        <w:rPr>
          <w:rFonts w:eastAsia="맑은 고딕"/>
          <w:b/>
          <w:lang w:eastAsia="ko-KR"/>
        </w:rPr>
        <w:t>elaxation</w:t>
      </w:r>
      <w:r w:rsidRPr="007754CC">
        <w:t xml:space="preserve"> </w:t>
      </w:r>
      <w:r w:rsidRPr="007754CC">
        <w:rPr>
          <w:rFonts w:eastAsia="맑은 고딕"/>
          <w:b/>
          <w:lang w:eastAsia="ko-KR"/>
        </w:rPr>
        <w:t xml:space="preserve">of </w:t>
      </w:r>
      <w:r>
        <w:rPr>
          <w:rFonts w:eastAsia="맑은 고딕"/>
          <w:b/>
          <w:lang w:eastAsia="ko-KR"/>
        </w:rPr>
        <w:t>RRM measurements up to</w:t>
      </w:r>
      <w:r w:rsidRPr="006E64F6">
        <w:rPr>
          <w:rFonts w:eastAsia="맑은 고딕"/>
          <w:b/>
          <w:lang w:eastAsia="ko-KR"/>
        </w:rPr>
        <w:t xml:space="preserve"> RAN4.</w:t>
      </w:r>
    </w:p>
    <w:p w:rsidR="005B3603" w:rsidRDefault="005B3603">
      <w:pPr>
        <w:rPr>
          <w:bCs/>
          <w:lang w:eastAsia="ko-KR"/>
        </w:rPr>
      </w:pPr>
    </w:p>
    <w:p w:rsidR="005B3603" w:rsidRDefault="00E70620">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5B3603" w:rsidRDefault="00E70620">
      <w:pPr>
        <w:rPr>
          <w:lang w:eastAsia="ko-KR"/>
        </w:rPr>
      </w:pPr>
      <w:r>
        <w:rPr>
          <w:lang w:eastAsia="ko-KR"/>
        </w:rPr>
        <w:t>In this contribution, we have the following proposals:</w:t>
      </w:r>
    </w:p>
    <w:p w:rsidR="005B3603" w:rsidRDefault="00C53B57">
      <w:pPr>
        <w:rPr>
          <w:b/>
          <w:bCs/>
          <w:lang w:eastAsia="ko-KR"/>
        </w:rPr>
      </w:pPr>
      <w:r>
        <w:rPr>
          <w:rFonts w:hint="eastAsia"/>
          <w:b/>
          <w:bCs/>
          <w:lang w:eastAsia="ko-KR"/>
        </w:rPr>
        <w:t>Proposal</w:t>
      </w:r>
      <w:r>
        <w:rPr>
          <w:b/>
          <w:bCs/>
          <w:lang w:eastAsia="ko-KR"/>
        </w:rPr>
        <w:t xml:space="preserve"> 1. For power-efficient SCG deactivation, SCG SCells should be in the deactivated state while the SCG is deactivated.</w:t>
      </w:r>
    </w:p>
    <w:p w:rsidR="00C53B57" w:rsidRDefault="00C53B57" w:rsidP="00C53B57">
      <w:pPr>
        <w:rPr>
          <w:b/>
          <w:bCs/>
          <w:lang w:eastAsia="ko-KR"/>
        </w:rPr>
      </w:pPr>
      <w:r>
        <w:rPr>
          <w:rFonts w:hint="eastAsia"/>
          <w:b/>
          <w:bCs/>
          <w:lang w:eastAsia="ko-KR"/>
        </w:rPr>
        <w:t>P</w:t>
      </w:r>
      <w:r>
        <w:rPr>
          <w:b/>
          <w:bCs/>
          <w:lang w:eastAsia="ko-KR"/>
        </w:rPr>
        <w:t>roposal 2. For power-efficient SCG deactivation, the SCG activation indication is only provided via MCG</w:t>
      </w:r>
    </w:p>
    <w:p w:rsidR="00C53B57" w:rsidRDefault="00C53B57" w:rsidP="00C53B57">
      <w:pPr>
        <w:rPr>
          <w:b/>
          <w:bCs/>
          <w:lang w:eastAsia="ko-KR"/>
        </w:rPr>
      </w:pPr>
      <w:r w:rsidRPr="00C53B57">
        <w:rPr>
          <w:b/>
          <w:bCs/>
          <w:lang w:eastAsia="ko-KR"/>
        </w:rPr>
        <w:t xml:space="preserve">Proposal </w:t>
      </w:r>
      <w:r>
        <w:rPr>
          <w:b/>
          <w:bCs/>
          <w:lang w:eastAsia="ko-KR"/>
        </w:rPr>
        <w:t xml:space="preserve">3. </w:t>
      </w:r>
      <w:r w:rsidRPr="00C53B57">
        <w:rPr>
          <w:b/>
          <w:bCs/>
          <w:lang w:eastAsia="ko-KR"/>
        </w:rPr>
        <w:t>For nonessential frequencies pre-configured by SN, UE suspends the measurements when SCG is deactivated, and resumes it when SCG is activated.</w:t>
      </w:r>
    </w:p>
    <w:p w:rsidR="005B3603" w:rsidRPr="00C53B57" w:rsidRDefault="00C53B57">
      <w:r w:rsidRPr="006E64F6">
        <w:rPr>
          <w:rFonts w:eastAsia="맑은 고딕"/>
          <w:b/>
          <w:lang w:eastAsia="ko-KR"/>
        </w:rPr>
        <w:t xml:space="preserve">Proposal </w:t>
      </w:r>
      <w:r>
        <w:rPr>
          <w:rFonts w:eastAsia="맑은 고딕"/>
          <w:b/>
          <w:lang w:eastAsia="ko-KR"/>
        </w:rPr>
        <w:t>4. Leave the further r</w:t>
      </w:r>
      <w:r w:rsidRPr="006E64F6">
        <w:rPr>
          <w:rFonts w:eastAsia="맑은 고딕"/>
          <w:b/>
          <w:lang w:eastAsia="ko-KR"/>
        </w:rPr>
        <w:t>elaxation</w:t>
      </w:r>
      <w:r w:rsidRPr="007754CC">
        <w:t xml:space="preserve"> </w:t>
      </w:r>
      <w:r w:rsidRPr="007754CC">
        <w:rPr>
          <w:rFonts w:eastAsia="맑은 고딕"/>
          <w:b/>
          <w:lang w:eastAsia="ko-KR"/>
        </w:rPr>
        <w:t xml:space="preserve">of </w:t>
      </w:r>
      <w:r>
        <w:rPr>
          <w:rFonts w:eastAsia="맑은 고딕"/>
          <w:b/>
          <w:lang w:eastAsia="ko-KR"/>
        </w:rPr>
        <w:t>RRM measurements up to</w:t>
      </w:r>
      <w:r w:rsidRPr="006E64F6">
        <w:rPr>
          <w:rFonts w:eastAsia="맑은 고딕"/>
          <w:b/>
          <w:lang w:eastAsia="ko-KR"/>
        </w:rPr>
        <w:t xml:space="preserve"> RAN4.</w:t>
      </w:r>
    </w:p>
    <w:p w:rsidR="005B3603" w:rsidRDefault="005B3603"/>
    <w:p w:rsidR="005B3603" w:rsidRDefault="00E70620">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5B3603" w:rsidRDefault="00E70620">
      <w:pPr>
        <w:rPr>
          <w:lang w:val="en-US" w:eastAsia="ko-KR"/>
        </w:rPr>
      </w:pPr>
      <w:r>
        <w:rPr>
          <w:rFonts w:hint="eastAsia"/>
          <w:lang w:val="en-US" w:eastAsia="ko-KR"/>
        </w:rPr>
        <w:t>[1]</w:t>
      </w:r>
      <w:r>
        <w:rPr>
          <w:lang w:val="en-US" w:eastAsia="ko-KR"/>
        </w:rPr>
        <w:tab/>
        <w:t>RP-193249</w:t>
      </w:r>
      <w:r>
        <w:rPr>
          <w:lang w:val="en-US" w:eastAsia="ko-KR"/>
        </w:rPr>
        <w:tab/>
        <w:t>New WID on further enhancements on Multi-Radio Dual-Connectivity</w:t>
      </w:r>
    </w:p>
    <w:p w:rsidR="005B3603" w:rsidRDefault="00E70620">
      <w:r>
        <w:rPr>
          <w:lang w:val="en-US" w:eastAsia="ko-KR"/>
        </w:rPr>
        <w:t>[2]</w:t>
      </w:r>
      <w:r>
        <w:rPr>
          <w:lang w:val="en-US" w:eastAsia="ko-KR"/>
        </w:rPr>
        <w:tab/>
      </w:r>
      <w:hyperlink r:id="rId8" w:tooltip="D:Documents3GPPtsg_ranWG2TSGR2_112-eDocsR2-2010701.zip" w:history="1">
        <w:r>
          <w:rPr>
            <w:lang w:eastAsia="ko-KR"/>
          </w:rPr>
          <w:t>R2-2010701</w:t>
        </w:r>
      </w:hyperlink>
      <w:r>
        <w:rPr>
          <w:lang w:eastAsia="ko-KR"/>
        </w:rPr>
        <w:tab/>
        <w:t>Report from session on LTE legacy, LTE TEI16 and NR/LTE Rel-16 Mobility</w:t>
      </w:r>
      <w:r>
        <w:rPr>
          <w:lang w:eastAsia="ko-KR"/>
        </w:rPr>
        <w:tab/>
        <w:t>Nokia</w:t>
      </w:r>
    </w:p>
    <w:sectPr w:rsidR="005B3603">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3DA" w:rsidRDefault="00CD73DA">
      <w:pPr>
        <w:pStyle w:val="1"/>
      </w:pPr>
      <w:r>
        <w:separator/>
      </w:r>
    </w:p>
  </w:endnote>
  <w:endnote w:type="continuationSeparator" w:id="0">
    <w:p w:rsidR="00CD73DA" w:rsidRDefault="00CD73D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603" w:rsidRDefault="00E7062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5B3603" w:rsidRDefault="005B36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603" w:rsidRDefault="00E7062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E2F9E">
      <w:rPr>
        <w:rStyle w:val="af1"/>
      </w:rPr>
      <w:t>3</w:t>
    </w:r>
    <w:r>
      <w:rPr>
        <w:rStyle w:val="af1"/>
      </w:rPr>
      <w:fldChar w:fldCharType="end"/>
    </w:r>
  </w:p>
  <w:p w:rsidR="005B3603" w:rsidRDefault="005B36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3DA" w:rsidRDefault="00CD73DA">
      <w:pPr>
        <w:pStyle w:val="1"/>
      </w:pPr>
      <w:r>
        <w:separator/>
      </w:r>
    </w:p>
  </w:footnote>
  <w:footnote w:type="continuationSeparator" w:id="0">
    <w:p w:rsidR="00CD73DA" w:rsidRDefault="00CD73D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9.45pt;height:9.4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wFAF59iGstAAAA"/>
  </w:docVars>
  <w:rsids>
    <w:rsidRoot w:val="005B3603"/>
    <w:rsid w:val="002E2F9E"/>
    <w:rsid w:val="005B3603"/>
    <w:rsid w:val="00C53B57"/>
    <w:rsid w:val="00CD73DA"/>
    <w:rsid w:val="00E70620"/>
    <w:rsid w:val="00F35A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リスト段落,列出段落,Lista1,?? ??,?????,????,列出段落1,中等深浅网格 1 - 着色 21,列表段落,List Paragraph,¥¡¡¡¡ì¬º¥¹¥È¶ÎÂä,ÁÐ³ö¶ÎÂä,列表段落1,—ño’i—Ž,¥ê¥¹¥È¶ÎÂä,1st level - Bullet List Paragraph,Lettre d'introduction,Paragrafo elenco,Normal bullet 2,Bullet list,목록단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aliases w:val="- Bullets Char,リスト段落 Char,列出段落 Char,Lista1 Char,?? ?? Char,????? Char,???? Char,列出段落1 Char,中等深浅网格 1 - 着色 21 Char,列表段落 Char,List Paragraph Char,¥¡¡¡¡ì¬º¥¹¥È¶ÎÂä Char,ÁÐ³ö¶ÎÂä Char,列表段落1 Char,—ño’i—Ž Char,¥ê¥¹¥È¶ÎÂä Char,Paragrafo elenco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57438-0F54-4229-B641-057AC62F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TotalTime>
  <Pages>3</Pages>
  <Words>1163</Words>
  <Characters>6630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6</cp:revision>
  <cp:lastPrinted>2014-08-09T03:01:00Z</cp:lastPrinted>
  <dcterms:created xsi:type="dcterms:W3CDTF">2021-01-13T02:04:00Z</dcterms:created>
  <dcterms:modified xsi:type="dcterms:W3CDTF">2021-01-15T04:53:00Z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